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4B" w:rsidRPr="008E144B" w:rsidRDefault="008E144B" w:rsidP="008E144B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Верховным судом РФ рассмотрены вопросы применения ответственности за нарушение обязательств, вытекающих из гражданских правоотношений</w:t>
      </w:r>
    </w:p>
    <w:p w:rsidR="00AB129B" w:rsidRDefault="00AB129B">
      <w:pPr>
        <w:rPr>
          <w:lang w:val="en-US"/>
        </w:rPr>
      </w:pP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В постановлении Пленума Верховного суда Российской Федерации от 24.03.2016 № 17 разрешены вопросы применения судами некоторых положений Гражданского кодекса РФ об ответственности за нарушение обязательств.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В данном постановлении впервые разграничены вопросы начисления процентов по ст. 395 ГК РФ и по ст. 317.1 ГК РФ.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По мнению суда, проценты по ст. 317.1 ГК РФ не являются мерой ответственности. Начисление с начала просрочки процентов по ст. 395 ГК РФ не влияет на начисление процентов по ст. 317.1 ГК РФ.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Также разъяснено, что к отношениям, связанным с причинением вреда недобросовестным поведением при проведении переговоров, применяются нормы главы 59 ГК РФ с исключениями, установленными статьей 434.1 ГК РФ. Например, юридическое лицо либо гражданин возмещает вред, причиненный недобросовестным поведением его работника при проведении переговоров (статья 1068 ГК РФ). В случае, когда вред при проведении переговоров причинен несколькими контрагентами совместно, они отвечают перед потерпевшим солидарно (статья 1080 ГК РФ).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Предполагается,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стороны. На истце лежит бремя доказывания того, что, вступая в переговоры, ответчик действовал недобросовестно с целью причинения вреда истцу, например, пытался получить коммерческую информацию у истца либо воспрепятствовать заключению договора между истцом и третьим лицом (пункт 1 статьи 421 и пункт 1 статьи 434.1 ГК РФ). При этом правило пункта 2 статьи 1064 ГК РФ не применяется.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Вместе с тем недобросовестность действий ответчика предполагается, если имеются обстоятельства, предусмотренные подпунктами 1 и 2 пункта 2 статьи 434.1 ГК РФ, а именно предоставление стороне неполной или недостоверной информации, в том числе умолчание об обстоятельствах, которые в силу характера договора должны быть доведены до сведения другой стороны; внезапное и неоправданное прекращение переговоров о заключении договора при таких обстоятельствах, при которых другая сторона переговоров не могла разумно этого ожидать.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В этих случаях ответчик должен доказать добросовестность своих действий.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Сторона, которая ведет или прерывает переговоры о заключении договора недобросовестно, обязана возместить другой стороне причиненные этим убытки.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 xml:space="preserve">В результате возмещения убытков, причиненных недобросовестным поведением при проведении переговоров, потерпевший должен быть поставлен в положение, в котором он находился бы, если бы не вступал в переговоры с недобросовестным контрагентом. Например, ему могут быть возмещены расходы, понесенные в связи с ведением переговоров, расходы по приготовлению к заключению договора, а также убытки, </w:t>
      </w:r>
      <w:r w:rsidRPr="008E144B">
        <w:rPr>
          <w:color w:val="000000"/>
        </w:rPr>
        <w:lastRenderedPageBreak/>
        <w:t>понесенные в связи с утратой возможности заключить договор с третьим лицом (статья 15, пункт 2 статьи 393, пункт 3 статьи 434.1, абзац первый пункта 1 статьи 1064 ГК РФ).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proofErr w:type="gramStart"/>
      <w:r w:rsidRPr="008E144B">
        <w:rPr>
          <w:color w:val="000000"/>
        </w:rPr>
        <w:t>Если стороне переговоров ее контрагентом представлена неполная или недостоверная информация либо контрагент умолчал об обстоятельствах, которые в силу характера договора должны были быть доведены до ее сведения, и сторонами был заключен договор, эта сторона вправе потребовать признания сделки недействительной и возмещения вызванных такой недействительностью убытков (статьи 178 или 179 ГК РФ) либо использовать способы защиты, специально предусмотренные для случаев нарушения</w:t>
      </w:r>
      <w:proofErr w:type="gramEnd"/>
      <w:r w:rsidRPr="008E144B">
        <w:rPr>
          <w:color w:val="000000"/>
        </w:rPr>
        <w:t xml:space="preserve"> отдельных видов обязательств, например, статьями 495, 732, 804, 944 ГК РФ.</w:t>
      </w:r>
    </w:p>
    <w:p w:rsidR="008E144B" w:rsidRPr="008E144B" w:rsidRDefault="008E144B" w:rsidP="008E144B">
      <w:pPr>
        <w:pStyle w:val="western"/>
        <w:shd w:val="clear" w:color="auto" w:fill="FFFFFF"/>
        <w:jc w:val="both"/>
        <w:rPr>
          <w:color w:val="000000"/>
        </w:rPr>
      </w:pPr>
      <w:r w:rsidRPr="008E144B">
        <w:rPr>
          <w:color w:val="000000"/>
        </w:rPr>
        <w:t>Если указанные действия контрагента по предоставлению неполной или недостоверной информации послужили основанием для отказа стороны от заключения договора, последняя вправе требовать возмещения убытков в соответствии с пунктом 3 статьи 434.1 ГК РФ.</w:t>
      </w:r>
    </w:p>
    <w:p w:rsidR="008E144B" w:rsidRPr="008E144B" w:rsidRDefault="008E144B" w:rsidP="008E144B">
      <w:pPr>
        <w:pStyle w:val="western"/>
        <w:shd w:val="clear" w:color="auto" w:fill="FFFFFF"/>
        <w:jc w:val="right"/>
        <w:rPr>
          <w:color w:val="000000"/>
        </w:rPr>
      </w:pPr>
      <w:r w:rsidRPr="008E144B">
        <w:rPr>
          <w:i/>
          <w:iCs/>
          <w:color w:val="000000"/>
        </w:rPr>
        <w:t xml:space="preserve">Заместитель </w:t>
      </w:r>
      <w:proofErr w:type="spellStart"/>
      <w:r w:rsidRPr="008E144B">
        <w:rPr>
          <w:i/>
          <w:iCs/>
          <w:color w:val="000000"/>
        </w:rPr>
        <w:t>Приозерского</w:t>
      </w:r>
      <w:proofErr w:type="spellEnd"/>
      <w:r w:rsidRPr="008E144B">
        <w:rPr>
          <w:i/>
          <w:iCs/>
          <w:color w:val="000000"/>
        </w:rPr>
        <w:t xml:space="preserve"> городского прокурора</w:t>
      </w:r>
    </w:p>
    <w:p w:rsidR="008E144B" w:rsidRPr="008E144B" w:rsidRDefault="008E144B" w:rsidP="008E144B">
      <w:pPr>
        <w:pStyle w:val="western"/>
        <w:shd w:val="clear" w:color="auto" w:fill="FFFFFF"/>
        <w:jc w:val="right"/>
        <w:rPr>
          <w:color w:val="000000"/>
        </w:rPr>
      </w:pPr>
      <w:r w:rsidRPr="008E144B">
        <w:rPr>
          <w:i/>
          <w:iCs/>
          <w:color w:val="000000"/>
        </w:rPr>
        <w:t>советник юстиции С.Б. Козлюк</w:t>
      </w:r>
    </w:p>
    <w:p w:rsidR="008E144B" w:rsidRPr="008E144B" w:rsidRDefault="008E144B"/>
    <w:sectPr w:rsidR="008E144B" w:rsidRPr="008E144B" w:rsidSect="00AB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E144B"/>
    <w:rsid w:val="008E144B"/>
    <w:rsid w:val="00AB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9B"/>
  </w:style>
  <w:style w:type="paragraph" w:styleId="3">
    <w:name w:val="heading 3"/>
    <w:basedOn w:val="a"/>
    <w:link w:val="30"/>
    <w:uiPriority w:val="9"/>
    <w:qFormat/>
    <w:rsid w:val="008E1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1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E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2017-01-31T15:32:00Z</dcterms:created>
  <dcterms:modified xsi:type="dcterms:W3CDTF">2017-01-31T15:33:00Z</dcterms:modified>
</cp:coreProperties>
</file>